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2B" w:rsidRPr="0023742B" w:rsidRDefault="008C3A18" w:rsidP="00E30FE4">
      <w:pPr>
        <w:pStyle w:val="Ttulo1"/>
        <w:jc w:val="center"/>
      </w:pPr>
      <w:r w:rsidRPr="008C3A18">
        <w:rPr>
          <w:sz w:val="24"/>
          <w:szCs w:val="24"/>
          <w:lang w:val="es-CO"/>
        </w:rPr>
        <w:t xml:space="preserve">Convocatoria </w:t>
      </w:r>
      <w:r w:rsidR="00E30FE4" w:rsidRPr="008C3A18">
        <w:rPr>
          <w:sz w:val="24"/>
          <w:szCs w:val="24"/>
          <w:lang w:val="es-CO"/>
        </w:rPr>
        <w:t>ARCU-SUR</w:t>
      </w:r>
      <w:r w:rsidR="00E30FE4">
        <w:rPr>
          <w:sz w:val="24"/>
          <w:szCs w:val="24"/>
          <w:lang w:val="es-CO"/>
        </w:rPr>
        <w:t xml:space="preserve">: </w:t>
      </w:r>
      <w:r w:rsidRPr="008C3A18">
        <w:rPr>
          <w:sz w:val="24"/>
          <w:szCs w:val="24"/>
          <w:lang w:val="es-CO"/>
        </w:rPr>
        <w:t>Seminario Region</w:t>
      </w:r>
      <w:r w:rsidR="00185A57">
        <w:rPr>
          <w:sz w:val="24"/>
          <w:szCs w:val="24"/>
          <w:lang w:val="es-CO"/>
        </w:rPr>
        <w:t xml:space="preserve">al de Capacitación </w:t>
      </w:r>
      <w:r w:rsidR="00E30FE4" w:rsidRPr="008C3A18">
        <w:rPr>
          <w:sz w:val="24"/>
          <w:szCs w:val="24"/>
          <w:lang w:val="es-CO"/>
        </w:rPr>
        <w:t xml:space="preserve">de Pares Evaluadores </w:t>
      </w:r>
      <w:r w:rsidR="00185A57">
        <w:rPr>
          <w:sz w:val="24"/>
          <w:szCs w:val="24"/>
          <w:lang w:val="es-CO"/>
        </w:rPr>
        <w:t>en medicina y odontología</w:t>
      </w:r>
      <w:r w:rsidR="00E30FE4">
        <w:rPr>
          <w:sz w:val="24"/>
          <w:szCs w:val="24"/>
          <w:lang w:val="es-CO"/>
        </w:rPr>
        <w:t>. s</w:t>
      </w:r>
      <w:r w:rsidR="00185A57">
        <w:t>antiago – 29 y 30 mayo</w:t>
      </w:r>
      <w:r w:rsidR="0023742B">
        <w:t xml:space="preserve"> 2018</w:t>
      </w:r>
    </w:p>
    <w:p w:rsidR="00E30FE4" w:rsidRDefault="00E30FE4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8C3A18" w:rsidRDefault="008C3A18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En el marco de los </w:t>
      </w:r>
      <w:bookmarkStart w:id="0" w:name="_GoBack"/>
      <w:bookmarkEnd w:id="0"/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procesos misionales del Consejo Nacion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al de Acreditación, y frente a los retos 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de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la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internacionalización de la educación superior, y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por ende, del sistema de aseguramiento de la calidad,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Colombia </w:t>
      </w:r>
      <w:r w:rsidR="00736E74">
        <w:rPr>
          <w:rFonts w:ascii="Arial" w:hAnsi="Arial" w:cs="Arial"/>
          <w:color w:val="000000"/>
          <w:sz w:val="20"/>
          <w:szCs w:val="22"/>
          <w:shd w:val="clear" w:color="auto" w:fill="FFFFFF"/>
        </w:rPr>
        <w:t>se ha integrado a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escenarios 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de cooperación inter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nacional, entre lo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s cuales se destacan acciones realizadas en conjunto con el Sistema de Acreditación Regional de Carreras Universitarias para el MERCOSUR (</w:t>
      </w:r>
      <w:proofErr w:type="spellStart"/>
      <w:r w:rsidR="00736E74"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Arcu</w:t>
      </w:r>
      <w:proofErr w:type="spellEnd"/>
      <w:r w:rsidR="00736E74"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-Sur). </w:t>
      </w:r>
    </w:p>
    <w:p w:rsidR="00736E74" w:rsidRDefault="00736E74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004B41" w:rsidRDefault="008C3A18" w:rsidP="008C3A18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En esta oportunidad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el Consejo Nacional de Acreditación Nacional- CNA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Chile</w:t>
      </w:r>
      <w:r w:rsidR="008E1AAB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y la Red de Agencias Nacionales de Acreditación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- RANA,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pone</w:t>
      </w:r>
      <w:r w:rsidR="008E1AAB">
        <w:rPr>
          <w:rFonts w:ascii="Arial" w:hAnsi="Arial" w:cs="Arial"/>
          <w:color w:val="000000"/>
          <w:sz w:val="20"/>
          <w:szCs w:val="22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en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conocimiento</w:t>
      </w:r>
      <w:r w:rsidR="008E1AAB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de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la comunidad a</w:t>
      </w:r>
      <w:r w:rsidR="008E1AAB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cadémica 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la apertura de la </w:t>
      </w:r>
      <w:r w:rsidRPr="00D15998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Convocatoria para el Seminario Region</w:t>
      </w:r>
      <w:r w:rsidR="00185A57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al de Capacitación </w:t>
      </w:r>
      <w:r w:rsidR="00E30FE4" w:rsidRPr="00D15998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de Pares Evaluadores </w:t>
      </w:r>
      <w:proofErr w:type="spellStart"/>
      <w:r w:rsidR="00E30FE4" w:rsidRPr="00D15998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Arcu</w:t>
      </w:r>
      <w:proofErr w:type="spellEnd"/>
      <w:r w:rsidR="00E30FE4" w:rsidRPr="00D15998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-Sur</w:t>
      </w:r>
      <w:r w:rsidR="00E30FE4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</w:t>
      </w:r>
      <w:r w:rsidR="00185A57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>en Medicina y</w:t>
      </w:r>
      <w:r w:rsidR="00E30FE4">
        <w:rPr>
          <w:rFonts w:ascii="Arial" w:hAnsi="Arial" w:cs="Arial"/>
          <w:b/>
          <w:color w:val="000000"/>
          <w:sz w:val="20"/>
          <w:szCs w:val="22"/>
          <w:shd w:val="clear" w:color="auto" w:fill="FFFFFF"/>
        </w:rPr>
        <w:t xml:space="preserve"> Odontología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, el cual se realizará durante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los días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29 y 30 de mayo en la ciudad de Santiago</w:t>
      </w:r>
      <w:r w:rsidR="00E30FE4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de Chile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en la</w:t>
      </w:r>
      <w:r w:rsidR="00185A57" w:rsidRP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Casa del Maestro del Colegio de Profesores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ubicada </w:t>
      </w:r>
      <w:r w:rsidR="00396AD0">
        <w:rPr>
          <w:rFonts w:ascii="Arial" w:hAnsi="Arial" w:cs="Arial"/>
          <w:color w:val="000000"/>
          <w:sz w:val="20"/>
          <w:szCs w:val="22"/>
          <w:shd w:val="clear" w:color="auto" w:fill="FFFFFF"/>
        </w:rPr>
        <w:t>en Catedral</w:t>
      </w:r>
      <w:r w:rsidR="00185A57" w:rsidRP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2395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. </w:t>
      </w:r>
    </w:p>
    <w:p w:rsidR="00185A57" w:rsidRPr="00D15998" w:rsidRDefault="00185A57" w:rsidP="008C3A18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8C3A18" w:rsidRPr="00D15998" w:rsidRDefault="008C3A18" w:rsidP="008C3A18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Los docentes universitarios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interesados</w:t>
      </w: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deben ser expertos provenientes de la comunidad académica y universitaria o del campo profesional, que cuenten con una reconocida trayectoria docente, científica y en gestión académica y cumplir los siguientes requisitos para capacitarse como Pares Evaluadores: </w:t>
      </w:r>
    </w:p>
    <w:p w:rsidR="008C3A18" w:rsidRPr="00D15998" w:rsidRDefault="008C3A18" w:rsidP="008C3A18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Tener diez (10) años de ejercicio continuado como docente</w:t>
      </w: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Título de doctorado o maestría</w:t>
      </w: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Experiencia de cuatro (4) años en gestión de la educación superior</w:t>
      </w: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Experiencia en procesos de evaluación externa de instituciones o carreras o haber participado de instancias de capacitación para evaluación de la educación superior universitaria</w:t>
      </w: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Experiencia internacional</w:t>
      </w:r>
    </w:p>
    <w:p w:rsidR="008C3A18" w:rsidRPr="00D1599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Experiencia en investigación y extensión</w:t>
      </w:r>
    </w:p>
    <w:p w:rsidR="008C3A18" w:rsidRDefault="008C3A18" w:rsidP="008C3A18">
      <w:pPr>
        <w:pStyle w:val="textoarticulocompletop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D15998">
        <w:rPr>
          <w:rFonts w:ascii="Arial" w:hAnsi="Arial" w:cs="Arial"/>
          <w:color w:val="000000"/>
          <w:sz w:val="20"/>
          <w:szCs w:val="22"/>
          <w:shd w:val="clear" w:color="auto" w:fill="FFFFFF"/>
        </w:rPr>
        <w:t>Experiencia o vinculación con el ejercicio profesional de la disciplina</w:t>
      </w:r>
    </w:p>
    <w:p w:rsidR="008E1AAB" w:rsidRDefault="008E1AAB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8E1AAB" w:rsidRDefault="008E1AAB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El Ministerio de Educación Nacional a través del Consejo Nacional de Acreditación -CNA considera importante la participación de la comunidad académica en este espacio de formación para el fortalecimiento de la calidad académica a nivel regional, lo que permitirá 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afianzar los programas regionales de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cooperación en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áreas como: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vinculación, fomento, subsidio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, movilidad entre otras que benefician al sistema de educación superior en su conjunto. </w:t>
      </w:r>
    </w:p>
    <w:p w:rsidR="008E1AAB" w:rsidRDefault="008E1AAB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</w:p>
    <w:p w:rsidR="008E1AAB" w:rsidRPr="00D15998" w:rsidRDefault="008E1AAB" w:rsidP="008E1AAB">
      <w:pPr>
        <w:pStyle w:val="textoarticulocompletop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Agradecemos que las instituciones interesadas presenten sus po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stulaciones antes del viernes 18 de mayo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a la dirección de correo electrónico </w:t>
      </w:r>
      <w:hyperlink r:id="rId7" w:history="1">
        <w:r w:rsidRPr="005826F1">
          <w:rPr>
            <w:rStyle w:val="Hipervnculo"/>
            <w:rFonts w:ascii="Arial" w:hAnsi="Arial" w:cs="Arial"/>
            <w:sz w:val="20"/>
            <w:szCs w:val="22"/>
            <w:shd w:val="clear" w:color="auto" w:fill="FFFFFF"/>
          </w:rPr>
          <w:t>intercna@mineducación.gov.co</w:t>
        </w:r>
      </w:hyperlink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.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En caso de que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necesiten ampliar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la información de la presente convocatoria podrán comunicarse con Mariana Londo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ño al teléfono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4399016 </w:t>
      </w:r>
      <w:proofErr w:type="spellStart"/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>ext</w:t>
      </w:r>
      <w:proofErr w:type="spellEnd"/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1011. </w:t>
      </w:r>
    </w:p>
    <w:p w:rsidR="008C3A18" w:rsidRPr="000218E0" w:rsidRDefault="008E1AAB" w:rsidP="008C3A18">
      <w:pPr>
        <w:pStyle w:val="Ttulo2"/>
      </w:pPr>
      <w:r w:rsidRPr="008E1AAB">
        <w:t>Sistema de Acreditación Regional de Carreras Universitarias para el MERCOSUR (Arcu-Sur)</w:t>
      </w:r>
    </w:p>
    <w:p w:rsidR="008C3A18" w:rsidRDefault="008C3A18" w:rsidP="008C3A18">
      <w:pPr>
        <w:spacing w:before="0" w:after="0"/>
        <w:jc w:val="both"/>
        <w:rPr>
          <w:rFonts w:asciiTheme="minorHAnsi" w:hAnsiTheme="minorHAnsi"/>
          <w:sz w:val="24"/>
          <w:szCs w:val="24"/>
        </w:rPr>
      </w:pPr>
    </w:p>
    <w:p w:rsidR="008E1AAB" w:rsidRPr="00736E74" w:rsidRDefault="008E1AAB" w:rsidP="008E1AAB">
      <w:pPr>
        <w:pStyle w:val="Normal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</w:pPr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El </w:t>
      </w:r>
      <w:bookmarkStart w:id="1" w:name="_Hlk505951924"/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>Sistema de Acreditación Regional de Carreras Universitarias para el MERCOSUR (</w:t>
      </w:r>
      <w:proofErr w:type="spellStart"/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>Arcu</w:t>
      </w:r>
      <w:proofErr w:type="spellEnd"/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-Sur) </w:t>
      </w:r>
      <w:bookmarkEnd w:id="1"/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es 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el </w:t>
      </w:r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>resultado de un Acuerdo entre los Ministros de Educación de Argentina, Brasil, Para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guay, Uruguay, Bolivia y Chile, </w:t>
      </w:r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>homologado por el Consejo del Mercado Común del MERCOSUL a través de la Decisión CMC nº 17/08.</w:t>
      </w:r>
    </w:p>
    <w:p w:rsidR="008E1AAB" w:rsidRPr="008E1AAB" w:rsidRDefault="008E1AAB" w:rsidP="008E1AAB">
      <w:pPr>
        <w:pStyle w:val="NormalWeb"/>
        <w:shd w:val="clear" w:color="auto" w:fill="FFFFFF"/>
        <w:spacing w:before="0" w:beforeAutospacing="0" w:after="270" w:afterAutospacing="0"/>
        <w:jc w:val="both"/>
        <w:textAlignment w:val="baseline"/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</w:pPr>
      <w:r w:rsidRPr="00736E74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>El Sistema ejecuta la evaluación y acreditación de carreras universitarias, y se gestiona a través de la Red de Agencias Nacionales de Acreditación en el ámbito de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l Sector Educativo del MERCOSUR, </w:t>
      </w:r>
      <w:r w:rsidRPr="008E1AAB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respeta las legislaciones de cada país y la autonomía de las instituciones universitarias, y considera en sus procesos carreras de grado que </w:t>
      </w:r>
      <w:r w:rsidR="00004B41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se encuentren acreditadas. </w:t>
      </w:r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Para mayor información consultar: </w:t>
      </w:r>
      <w:hyperlink r:id="rId8" w:history="1">
        <w:r w:rsidR="00185A57" w:rsidRPr="00570983">
          <w:rPr>
            <w:rStyle w:val="Hipervnculo"/>
            <w:rFonts w:ascii="Arial" w:hAnsi="Arial" w:cs="Arial"/>
            <w:sz w:val="20"/>
            <w:szCs w:val="22"/>
            <w:shd w:val="clear" w:color="auto" w:fill="FFFFFF"/>
            <w:lang w:val="es-CO" w:eastAsia="es-CO"/>
          </w:rPr>
          <w:t>http://edu.mercosur.int/arcusur/index.php/es/descripcion/127-sistema-arcu-sur-es</w:t>
        </w:r>
      </w:hyperlink>
      <w:r w:rsidR="00185A57">
        <w:rPr>
          <w:rFonts w:ascii="Arial" w:hAnsi="Arial" w:cs="Arial"/>
          <w:color w:val="000000"/>
          <w:sz w:val="20"/>
          <w:szCs w:val="22"/>
          <w:shd w:val="clear" w:color="auto" w:fill="FFFFFF"/>
          <w:lang w:val="es-CO" w:eastAsia="es-CO"/>
        </w:rPr>
        <w:t xml:space="preserve"> </w:t>
      </w:r>
    </w:p>
    <w:sectPr w:rsidR="008E1AAB" w:rsidRPr="008E1AAB" w:rsidSect="008F4A06">
      <w:headerReference w:type="default" r:id="rId9"/>
      <w:pgSz w:w="11906" w:h="16838"/>
      <w:pgMar w:top="123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E7" w:rsidRDefault="006773E7" w:rsidP="008F4A06">
      <w:pPr>
        <w:spacing w:before="0" w:after="0" w:line="240" w:lineRule="auto"/>
      </w:pPr>
      <w:r>
        <w:separator/>
      </w:r>
    </w:p>
  </w:endnote>
  <w:endnote w:type="continuationSeparator" w:id="0">
    <w:p w:rsidR="006773E7" w:rsidRDefault="006773E7" w:rsidP="008F4A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E7" w:rsidRDefault="006773E7" w:rsidP="008F4A06">
      <w:pPr>
        <w:spacing w:before="0" w:after="0" w:line="240" w:lineRule="auto"/>
      </w:pPr>
      <w:r>
        <w:separator/>
      </w:r>
    </w:p>
  </w:footnote>
  <w:footnote w:type="continuationSeparator" w:id="0">
    <w:p w:rsidR="006773E7" w:rsidRDefault="006773E7" w:rsidP="008F4A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D" w:rsidRPr="00AB21A4" w:rsidRDefault="00A82BFB" w:rsidP="005953AD">
    <w:pPr>
      <w:pStyle w:val="Encabezado"/>
      <w:tabs>
        <w:tab w:val="clear" w:pos="4252"/>
        <w:tab w:val="clear" w:pos="8504"/>
        <w:tab w:val="right" w:pos="9781"/>
      </w:tabs>
      <w:rPr>
        <w:rFonts w:ascii="Arial" w:hAnsi="Arial" w:cs="Arial"/>
        <w:b/>
        <w:sz w:val="48"/>
        <w:szCs w:val="96"/>
      </w:rPr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78993F59" wp14:editId="2A203F61">
          <wp:simplePos x="0" y="0"/>
          <wp:positionH relativeFrom="column">
            <wp:posOffset>3543300</wp:posOffset>
          </wp:positionH>
          <wp:positionV relativeFrom="paragraph">
            <wp:posOffset>66040</wp:posOffset>
          </wp:positionV>
          <wp:extent cx="1141095" cy="534035"/>
          <wp:effectExtent l="0" t="0" r="1905" b="0"/>
          <wp:wrapSquare wrapText="bothSides"/>
          <wp:docPr id="6" name="Imagen 6" descr="todosporunpa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dosporunpai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127B0F20" wp14:editId="160006DC">
          <wp:simplePos x="0" y="0"/>
          <wp:positionH relativeFrom="column">
            <wp:posOffset>1781175</wp:posOffset>
          </wp:positionH>
          <wp:positionV relativeFrom="paragraph">
            <wp:posOffset>75565</wp:posOffset>
          </wp:positionV>
          <wp:extent cx="1504950" cy="49022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4489" r="8846" b="12274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57">
      <w:rPr>
        <w:rFonts w:ascii="Arial" w:hAnsi="Arial" w:cs="Arial"/>
        <w:b/>
        <w:noProof/>
        <w:sz w:val="48"/>
        <w:szCs w:val="96"/>
        <w:lang w:val="es-CO" w:eastAsia="es-CO"/>
      </w:rPr>
      <w:drawing>
        <wp:inline distT="0" distB="0" distL="0" distR="0" wp14:anchorId="23CD8AF0">
          <wp:extent cx="1162050" cy="9239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53AD">
      <w:rPr>
        <w:rFonts w:ascii="Arial" w:hAnsi="Arial" w:cs="Arial"/>
        <w:b/>
        <w:sz w:val="48"/>
        <w:szCs w:val="96"/>
      </w:rPr>
      <w:tab/>
    </w:r>
    <w:r w:rsidR="005953AD">
      <w:rPr>
        <w:rFonts w:ascii="Arial" w:hAnsi="Arial" w:cs="Arial"/>
        <w:b/>
        <w:noProof/>
        <w:sz w:val="48"/>
        <w:szCs w:val="96"/>
        <w:lang w:val="es-CO" w:eastAsia="es-CO"/>
      </w:rPr>
      <w:drawing>
        <wp:inline distT="0" distB="0" distL="0" distR="0" wp14:anchorId="7818CEE4" wp14:editId="6AC60573">
          <wp:extent cx="1102179" cy="77152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osul educacio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116" cy="777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5FE9" w:rsidRDefault="00FC5FE9" w:rsidP="008F4A06">
    <w:pPr>
      <w:pStyle w:val="Encabezado"/>
      <w:tabs>
        <w:tab w:val="clear" w:pos="4252"/>
        <w:tab w:val="clear" w:pos="8504"/>
        <w:tab w:val="center" w:pos="4678"/>
        <w:tab w:val="right" w:pos="9638"/>
      </w:tabs>
      <w:jc w:val="both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DF2E51" wp14:editId="6300A6C0">
              <wp:simplePos x="0" y="0"/>
              <wp:positionH relativeFrom="column">
                <wp:posOffset>1828800</wp:posOffset>
              </wp:positionH>
              <wp:positionV relativeFrom="paragraph">
                <wp:posOffset>3175000</wp:posOffset>
              </wp:positionV>
              <wp:extent cx="4198620" cy="30124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301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9" w:rsidRDefault="00FC5FE9" w:rsidP="008F4A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EDF2E5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in;margin-top:250pt;width:330.6pt;height:2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" o:allowincell="f" stroked="f">
              <v:textbox>
                <w:txbxContent>
                  <w:p w:rsidR="00FC5FE9" w:rsidRDefault="00FC5FE9" w:rsidP="008F4A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469F"/>
    <w:multiLevelType w:val="hybridMultilevel"/>
    <w:tmpl w:val="E80252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0B69"/>
    <w:multiLevelType w:val="hybridMultilevel"/>
    <w:tmpl w:val="E9F89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74FE6"/>
    <w:multiLevelType w:val="hybridMultilevel"/>
    <w:tmpl w:val="0CCEB670"/>
    <w:lvl w:ilvl="0" w:tplc="C3B8FC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0" w:nlCheck="1" w:checkStyle="0"/>
  <w:activeWritingStyle w:appName="MSWord" w:lang="es-CO" w:vendorID="64" w:dllVersion="0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33"/>
    <w:rsid w:val="00004B41"/>
    <w:rsid w:val="000218E0"/>
    <w:rsid w:val="00037A64"/>
    <w:rsid w:val="00050739"/>
    <w:rsid w:val="00052D91"/>
    <w:rsid w:val="000E403F"/>
    <w:rsid w:val="00106FB2"/>
    <w:rsid w:val="0013353E"/>
    <w:rsid w:val="00185A57"/>
    <w:rsid w:val="001A45FF"/>
    <w:rsid w:val="0023742B"/>
    <w:rsid w:val="00284382"/>
    <w:rsid w:val="002D16BC"/>
    <w:rsid w:val="00371D8B"/>
    <w:rsid w:val="00396AD0"/>
    <w:rsid w:val="003C6217"/>
    <w:rsid w:val="003D1F5B"/>
    <w:rsid w:val="004074FD"/>
    <w:rsid w:val="00416DBB"/>
    <w:rsid w:val="00421385"/>
    <w:rsid w:val="00442173"/>
    <w:rsid w:val="004562FC"/>
    <w:rsid w:val="004C7A59"/>
    <w:rsid w:val="00550B0C"/>
    <w:rsid w:val="00566751"/>
    <w:rsid w:val="00576759"/>
    <w:rsid w:val="0058675E"/>
    <w:rsid w:val="0059289E"/>
    <w:rsid w:val="005953AD"/>
    <w:rsid w:val="005A0D19"/>
    <w:rsid w:val="005B04CE"/>
    <w:rsid w:val="005E00B9"/>
    <w:rsid w:val="005E61B0"/>
    <w:rsid w:val="00615158"/>
    <w:rsid w:val="006266D2"/>
    <w:rsid w:val="00664F34"/>
    <w:rsid w:val="00673DFC"/>
    <w:rsid w:val="006773E7"/>
    <w:rsid w:val="00736E74"/>
    <w:rsid w:val="00766794"/>
    <w:rsid w:val="00810428"/>
    <w:rsid w:val="00827F8D"/>
    <w:rsid w:val="008535C3"/>
    <w:rsid w:val="008560D0"/>
    <w:rsid w:val="00893589"/>
    <w:rsid w:val="008B0B8B"/>
    <w:rsid w:val="008C3A18"/>
    <w:rsid w:val="008E1AAB"/>
    <w:rsid w:val="008E7C9D"/>
    <w:rsid w:val="008F4A06"/>
    <w:rsid w:val="0092472A"/>
    <w:rsid w:val="009448AF"/>
    <w:rsid w:val="00944CA8"/>
    <w:rsid w:val="00986D7D"/>
    <w:rsid w:val="009B72D9"/>
    <w:rsid w:val="00A5555A"/>
    <w:rsid w:val="00A55A40"/>
    <w:rsid w:val="00A82BFB"/>
    <w:rsid w:val="00B01829"/>
    <w:rsid w:val="00B10236"/>
    <w:rsid w:val="00B179E7"/>
    <w:rsid w:val="00B22533"/>
    <w:rsid w:val="00B274F4"/>
    <w:rsid w:val="00B55ED6"/>
    <w:rsid w:val="00B66D66"/>
    <w:rsid w:val="00B66F7B"/>
    <w:rsid w:val="00B83E6D"/>
    <w:rsid w:val="00B900DF"/>
    <w:rsid w:val="00BA0DEF"/>
    <w:rsid w:val="00BA4CEA"/>
    <w:rsid w:val="00BB7E53"/>
    <w:rsid w:val="00C76AC9"/>
    <w:rsid w:val="00CD4506"/>
    <w:rsid w:val="00D97764"/>
    <w:rsid w:val="00DA1A48"/>
    <w:rsid w:val="00DE1438"/>
    <w:rsid w:val="00E14F69"/>
    <w:rsid w:val="00E30FE4"/>
    <w:rsid w:val="00E46B68"/>
    <w:rsid w:val="00EB37A8"/>
    <w:rsid w:val="00EC3BC2"/>
    <w:rsid w:val="00EC45FA"/>
    <w:rsid w:val="00EE732C"/>
    <w:rsid w:val="00F7175B"/>
    <w:rsid w:val="00F83EA7"/>
    <w:rsid w:val="00F86A02"/>
    <w:rsid w:val="00F87B36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B94C73-6B52-41CF-BCDA-04E49437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253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B2253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6B6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jc w:val="center"/>
      <w:outlineLvl w:val="1"/>
    </w:pPr>
    <w:rPr>
      <w:rFonts w:asciiTheme="minorHAnsi" w:hAnsiTheme="minorHAnsi"/>
      <w:b/>
      <w:caps/>
      <w:spacing w:val="15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2533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E46B68"/>
    <w:rPr>
      <w:rFonts w:eastAsia="Times New Roman" w:cs="Times New Roman"/>
      <w:b/>
      <w:caps/>
      <w:spacing w:val="15"/>
      <w:sz w:val="24"/>
      <w:szCs w:val="24"/>
      <w:shd w:val="clear" w:color="auto" w:fill="DBE5F1"/>
      <w:lang w:val="es-ES" w:eastAsia="pt-BR"/>
    </w:rPr>
  </w:style>
  <w:style w:type="character" w:styleId="Hipervnculo">
    <w:name w:val="Hyperlink"/>
    <w:uiPriority w:val="99"/>
    <w:unhideWhenUsed/>
    <w:rsid w:val="00B2253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253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C3"/>
    <w:rPr>
      <w:rFonts w:ascii="Segoe UI" w:eastAsia="Times New Roman" w:hAnsi="Segoe UI" w:cs="Segoe UI"/>
      <w:sz w:val="18"/>
      <w:szCs w:val="18"/>
      <w:lang w:eastAsia="pt-BR"/>
    </w:rPr>
  </w:style>
  <w:style w:type="paragraph" w:styleId="Encabezado">
    <w:name w:val="header"/>
    <w:basedOn w:val="Normal"/>
    <w:link w:val="EncabezadoCar"/>
    <w:uiPriority w:val="99"/>
    <w:unhideWhenUsed/>
    <w:rsid w:val="008F4A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A06"/>
    <w:rPr>
      <w:rFonts w:ascii="Calibri" w:eastAsia="Times New Roman" w:hAnsi="Calibri" w:cs="Times New Roman"/>
      <w:sz w:val="20"/>
      <w:szCs w:val="20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8F4A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A06"/>
    <w:rPr>
      <w:rFonts w:ascii="Calibri" w:eastAsia="Times New Roman" w:hAnsi="Calibri" w:cs="Times New Roman"/>
      <w:sz w:val="20"/>
      <w:szCs w:val="20"/>
      <w:lang w:eastAsia="pt-BR"/>
    </w:rPr>
  </w:style>
  <w:style w:type="character" w:customStyle="1" w:styleId="hps">
    <w:name w:val="hps"/>
    <w:rsid w:val="00673DFC"/>
  </w:style>
  <w:style w:type="character" w:customStyle="1" w:styleId="xbe">
    <w:name w:val="_xbe"/>
    <w:basedOn w:val="Fuentedeprrafopredeter"/>
    <w:rsid w:val="00052D91"/>
  </w:style>
  <w:style w:type="paragraph" w:styleId="Prrafodelista">
    <w:name w:val="List Paragraph"/>
    <w:basedOn w:val="Normal"/>
    <w:uiPriority w:val="34"/>
    <w:qFormat/>
    <w:rsid w:val="00B10236"/>
    <w:pPr>
      <w:ind w:left="720"/>
      <w:contextualSpacing/>
    </w:pPr>
  </w:style>
  <w:style w:type="paragraph" w:customStyle="1" w:styleId="textoarticulocompletop">
    <w:name w:val="textoarticulocompletop"/>
    <w:basedOn w:val="Normal"/>
    <w:rsid w:val="008C3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3A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6E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mercosur.int/arcusur/index.php/es/descripcion/127-sistema-arcu-sur-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cna@mineducaci&#243;n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Manoela Vilela Araújo</dc:creator>
  <cp:lastModifiedBy>Carlos Emiro Campo Rodriguez</cp:lastModifiedBy>
  <cp:revision>2</cp:revision>
  <cp:lastPrinted>2018-05-07T14:14:00Z</cp:lastPrinted>
  <dcterms:created xsi:type="dcterms:W3CDTF">2018-05-08T20:23:00Z</dcterms:created>
  <dcterms:modified xsi:type="dcterms:W3CDTF">2018-05-08T20:23:00Z</dcterms:modified>
</cp:coreProperties>
</file>